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方正公文黑体" w:eastAsia="方正公文黑体" w:cs="方正公文黑体" w:hAnsi="方正公文黑体" w:hint="eastAsia"/>
          <w:sz w:val="32"/>
          <w:szCs w:val="32"/>
          <w:lang w:val="en-US" w:eastAsia="zh-CN"/>
        </w:rPr>
      </w:pPr>
      <w:r>
        <w:rPr>
          <w:rFonts w:ascii="方正公文黑体" w:eastAsia="方正公文黑体" w:cs="方正公文黑体" w:hAnsi="方正公文黑体" w:hint="eastAsia"/>
          <w:sz w:val="32"/>
          <w:szCs w:val="32"/>
          <w:lang w:val="en-US" w:eastAsia="zh-CN"/>
        </w:rPr>
        <w:t>附件</w:t>
      </w:r>
    </w:p>
    <w:p>
      <w:pPr>
        <w:pStyle w:val="1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公文小标宋" w:eastAsia="方正公文小标宋" w:cs="方正公文小标宋" w:hAnsi="方正公文小标宋" w:hint="eastAsia"/>
          <w:sz w:val="44"/>
          <w:szCs w:val="44"/>
          <w:lang w:val="en-US" w:eastAsia="zh-CN"/>
        </w:rPr>
      </w:pPr>
      <w:bookmarkStart w:id="0" w:name="OLE_LINK9"/>
      <w:bookmarkStart w:id="1" w:name="OLE_LINK1"/>
      <w:r>
        <w:rPr>
          <w:rFonts w:ascii="方正公文小标宋" w:eastAsia="方正公文小标宋" w:cs="方正公文小标宋" w:hAnsi="方正公文小标宋" w:hint="eastAsia"/>
          <w:sz w:val="44"/>
          <w:szCs w:val="44"/>
          <w:lang w:val="en-US" w:eastAsia="zh-CN"/>
        </w:rPr>
        <w:t>青海省</w:t>
      </w:r>
      <w:r>
        <w:rPr>
          <w:rFonts w:ascii="方正公文小标宋" w:eastAsia="方正公文小标宋" w:cs="方正公文小标宋" w:hAnsi="方正公文小标宋" w:hint="eastAsia"/>
          <w:sz w:val="44"/>
          <w:szCs w:val="44"/>
        </w:rPr>
        <w:t>专利导航项目评</w:t>
      </w:r>
      <w:r>
        <w:rPr>
          <w:rFonts w:ascii="方正公文小标宋" w:eastAsia="方正公文小标宋" w:cs="方正公文小标宋" w:hAnsi="方正公文小标宋" w:hint="eastAsia"/>
          <w:sz w:val="44"/>
          <w:szCs w:val="44"/>
          <w:lang w:val="en-US" w:eastAsia="zh-CN"/>
        </w:rPr>
        <w:t>估</w:t>
      </w:r>
      <w:bookmarkEnd w:id="0"/>
      <w:r>
        <w:rPr>
          <w:rFonts w:ascii="方正公文小标宋" w:eastAsia="方正公文小标宋" w:cs="方正公文小标宋" w:hAnsi="方正公文小标宋" w:hint="eastAsia"/>
          <w:sz w:val="44"/>
          <w:szCs w:val="44"/>
          <w:lang w:val="en-US" w:eastAsia="zh-CN"/>
        </w:rPr>
        <w:t>指标</w:t>
      </w:r>
    </w:p>
    <w:tbl>
      <w:tblPr>
        <w:tblpPr w:leftFromText="180" w:rightFromText="180" w:vertAnchor="text" w:horzAnchor="page" w:tblpXSpec="center" w:tblpY="331"/>
        <w:tblOverlap w:val="never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27"/>
        <w:gridCol w:w="6380"/>
      </w:tblGrid>
      <w:tr>
        <w:trPr>
          <w:trHeight w:val="51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黑体" w:cs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End w:id="1"/>
            <w:r>
              <w:rPr>
                <w:rStyle w:val="134"/>
                <w:rFonts w:ascii="Times New Roman" w:eastAsia="方正公文黑体" w:cs="Times New Roman" w:hAnsi="Times New Roman"/>
                <w:b w:val="0"/>
                <w:bCs w:val="0"/>
                <w:lang w:val="en-US" w:eastAsia="zh-CN"/>
              </w:rPr>
              <w:t>一级指标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黑体" w:cs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eastAsia="方正公文黑体" w:cs="Times New Roman" w:hAnsi="Times New Roman"/>
                <w:b w:val="0"/>
                <w:bCs w:val="0"/>
                <w:lang w:val="en-US" w:eastAsia="zh-CN"/>
              </w:rPr>
              <w:t>二级指标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黑体" w:cs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eastAsia="方正公文黑体" w:cs="Times New Roman" w:hAnsi="Times New Roman"/>
                <w:b w:val="0"/>
                <w:bCs w:val="0"/>
                <w:lang w:val="en-US" w:eastAsia="zh-CN"/>
              </w:rPr>
              <w:t>评分标准</w:t>
            </w:r>
          </w:p>
        </w:tc>
      </w:tr>
      <w:tr>
        <w:trPr>
          <w:trHeight w:val="1124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工作基础（</w:t>
            </w:r>
            <w:r>
              <w:rPr>
                <w:rStyle w:val="135"/>
                <w:rFonts w:eastAsia="宋体"/>
                <w:lang w:val="en-US" w:eastAsia="zh-CN"/>
              </w:rPr>
              <w:t>10</w:t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1.主体资质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（3分）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36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在青海省内注册，具备独立法人资格（1分）；人员架构完整、分工明确（1分）；配备有明确从事专利导航工作的人员（1分）。</w:t>
            </w:r>
          </w:p>
        </w:tc>
      </w:tr>
      <w:tr>
        <w:trPr>
          <w:trHeight w:val="802"/>
        </w:trPr>
        <w:tc>
          <w:tcPr>
            <w:tcW w:w="1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2.信息资源（4分）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具备或可合法使用专利数据库、产业数据、政策数据等多元数据资源（2分）；具备专利导航分析工具或软件（2分）。</w:t>
            </w:r>
          </w:p>
        </w:tc>
      </w:tr>
      <w:tr>
        <w:trPr>
          <w:trHeight w:val="1144"/>
        </w:trPr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3.项目管理制度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（3分）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建立完善的项目管理、质量控制和档案管理制度（2分）；有明确的项目负责人和内部审核机制（1分）。</w:t>
            </w:r>
          </w:p>
        </w:tc>
      </w:tr>
      <w:tr>
        <w:trPr>
          <w:trHeight w:val="146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项目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必要性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5"/>
                <w:rFonts w:eastAsia="宋体"/>
                <w:lang w:val="en-US" w:eastAsia="zh-CN"/>
              </w:rPr>
              <w:t>15</w:t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符合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重点产业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发展方向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7"/>
                <w:rFonts w:eastAsia="宋体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为以下产业：盐湖化工，清洁能源，生态旅游，绿色有机农畜产品，生物医药，传统产业转型升级领域等省委省政府确定的重点产业或领域，以及集成电路、航空航天、低空经济、具身智能、脑机接口等新兴支柱、未来产业。不符合不得分。</w:t>
            </w:r>
          </w:p>
        </w:tc>
      </w:tr>
      <w:tr>
        <w:trPr>
          <w:trHeight w:val="14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社会与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创新意义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推动重大科技创新、实现国产替代、支撑重大工程建设或具有显著环保</w:t>
            </w:r>
            <w:r>
              <w:rPr>
                <w:rStyle w:val="137"/>
                <w:rFonts w:eastAsia="宋体"/>
                <w:lang w:val="en-US" w:eastAsia="zh-CN"/>
              </w:rPr>
              <w:t>/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民生效益（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分）；所解决问题属于</w:t>
            </w:r>
            <w:r>
              <w:rPr>
                <w:rStyle w:val="137"/>
                <w:rFonts w:eastAsia="宋体"/>
                <w:lang w:val="en-US" w:eastAsia="zh-CN"/>
              </w:rPr>
              <w:t>“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卡脖子</w:t>
            </w:r>
            <w:r>
              <w:rPr>
                <w:rStyle w:val="137"/>
                <w:rFonts w:eastAsia="宋体"/>
                <w:lang w:val="en-US" w:eastAsia="zh-CN"/>
              </w:rPr>
              <w:t>”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技术、关键共性技术或产业链短板环节（</w:t>
            </w:r>
            <w:r>
              <w:rPr>
                <w:rStyle w:val="137"/>
                <w:rFonts w:eastAsia="宋体"/>
                <w:lang w:val="en-US" w:eastAsia="zh-CN"/>
              </w:rPr>
              <w:t>8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分）；有一定行业带动作用（</w:t>
            </w:r>
            <w:r>
              <w:rPr>
                <w:rStyle w:val="137"/>
                <w:rFonts w:eastAsia="宋体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分）；普通改进型项目（</w:t>
            </w:r>
            <w:r>
              <w:rPr>
                <w:rStyle w:val="137"/>
                <w:rFonts w:eastAsia="宋体"/>
                <w:lang w:val="en-US" w:eastAsia="zh-CN"/>
              </w:rPr>
              <w:t>3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分）取最高分。</w:t>
            </w:r>
          </w:p>
        </w:tc>
      </w:tr>
      <w:tr>
        <w:trPr>
          <w:trHeight w:val="1151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过程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质量控制</w:t>
            </w:r>
            <w:r>
              <w:rPr>
                <w:rStyle w:val="135"/>
                <w:rFonts w:eastAsia="宋体"/>
                <w:lang w:val="en-US" w:eastAsia="zh-CN"/>
              </w:rPr>
              <w:br/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5"/>
                <w:rFonts w:eastAsia="宋体"/>
                <w:lang w:val="en-US" w:eastAsia="zh-CN"/>
              </w:rPr>
              <w:t>10</w:t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6.标准遵循（5分）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严格遵循《专利导航指南》（GB/T 39551-2020）系列国家标准，项目方案完整（含需求分析、信息采集、数据处理、分析模型等）（3分）；各环节有工作记录（2分）。</w:t>
            </w:r>
          </w:p>
        </w:tc>
      </w:tr>
      <w:tr>
        <w:trPr>
          <w:trHeight w:val="1002"/>
        </w:trPr>
        <w:tc>
          <w:tcPr>
            <w:tcW w:w="1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7.进度控制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（5分）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进程控制合理，召开项目启动会，制定项目实施方案，结题提交成果（3分）有明确的风险应对预案（2分）。</w:t>
            </w:r>
          </w:p>
        </w:tc>
      </w:tr>
      <w:tr>
        <w:trPr>
          <w:trHeight w:val="1440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成果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质量控制</w:t>
            </w:r>
            <w:r>
              <w:rPr>
                <w:rStyle w:val="135"/>
                <w:rFonts w:eastAsia="宋体"/>
                <w:lang w:val="en-US" w:eastAsia="zh-CN"/>
              </w:rPr>
              <w:br/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5"/>
                <w:rFonts w:eastAsia="宋体"/>
                <w:lang w:val="en-US" w:eastAsia="zh-CN"/>
              </w:rPr>
              <w:t>50</w:t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报告完整性与规范性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报告结构完整，内容包含项目需求分析、信息采集范围与策略、数据处理过程与方法、分析模型与分析过程、结论与建议（共5分，缺一项扣1分）；文字表述准确，无基本事实错误（5分）。</w:t>
            </w:r>
          </w:p>
        </w:tc>
      </w:tr>
      <w:tr>
        <w:trPr>
          <w:trHeight w:val="12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分析科学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性与逻辑性（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综合运用专利地图、技术生命周期、专利权人网络、引文分析等科学方法（5分）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；数据支撑强，逻辑链条完整（</w:t>
            </w:r>
            <w:r>
              <w:rPr>
                <w:rStyle w:val="137"/>
                <w:rFonts w:eastAsia="方正公文仿宋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分）。</w:t>
            </w:r>
          </w:p>
        </w:tc>
      </w:tr>
      <w:tr>
        <w:trPr>
          <w:trHeight w:val="12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数据权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威性与时效性（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专利数据具备权威性，更新至项目启动前3个月内（5分）；产业、经济、政策数据来源可靠、标注清晰（5分）。</w:t>
            </w:r>
          </w:p>
        </w:tc>
      </w:tr>
      <w:tr>
        <w:trPr>
          <w:trHeight w:val="12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结论与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建议可行性（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提出的专利布局、风险预警、研发路径等建议基于我省资源禀赋及产业发展实际，科学合理（</w:t>
            </w:r>
            <w:r>
              <w:rPr>
                <w:rStyle w:val="137"/>
                <w:rFonts w:eastAsia="方正公文仿宋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分）；路径建议能够服务于管理层决策或研发调整，具备可操作性（</w:t>
            </w:r>
            <w:r>
              <w:rPr>
                <w:rStyle w:val="137"/>
                <w:rFonts w:eastAsia="方正公文仿宋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分）。</w:t>
            </w:r>
          </w:p>
        </w:tc>
      </w:tr>
      <w:tr>
        <w:trPr>
          <w:trHeight w:val="23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成果</w:t>
            </w:r>
            <w:r>
              <w:rPr>
                <w:rStyle w:val="137"/>
                <w:rFonts w:eastAsia="宋体"/>
                <w:lang w:val="en-US" w:eastAsia="zh-CN"/>
              </w:rPr>
              <w:br/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运用有效性（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支撑政府投资决策、规避投资风险和经济损失、防控技术与知识产权风险、优化项目实施方案、提高人才引进精准度等方面发挥作用（</w:t>
            </w:r>
            <w:r>
              <w:rPr>
                <w:rStyle w:val="137"/>
                <w:rFonts w:eastAsia="宋体"/>
                <w:lang w:val="en-US" w:eastAsia="zh-CN"/>
              </w:rPr>
              <w:t>3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分）；支撑地方各级政府产业规划等政策文件研究制定，主要成果纳入文件、为文件制定提供直接支撑，以及支撑政策施行取得突出成效等（</w:t>
            </w:r>
            <w:r>
              <w:rPr>
                <w:rStyle w:val="137"/>
                <w:rFonts w:eastAsia="宋体"/>
                <w:lang w:val="en-US" w:eastAsia="zh-CN"/>
              </w:rPr>
              <w:t>3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分）。服务企业、成果发布、案例推广等各类场景应用中取得成效（</w:t>
            </w:r>
            <w:r>
              <w:rPr>
                <w:rStyle w:val="137"/>
                <w:rFonts w:eastAsia="宋体"/>
                <w:lang w:val="en-US" w:eastAsia="zh-CN"/>
              </w:rPr>
              <w:t>4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分）。</w:t>
            </w:r>
          </w:p>
        </w:tc>
      </w:tr>
      <w:tr>
        <w:trPr>
          <w:trHeight w:val="1080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成果推广（</w:t>
            </w:r>
            <w:r>
              <w:rPr>
                <w:rStyle w:val="135"/>
                <w:rFonts w:eastAsia="宋体"/>
                <w:lang w:val="en-US" w:eastAsia="zh-CN"/>
              </w:rPr>
              <w:t>15</w:t>
            </w:r>
            <w:r>
              <w:rPr>
                <w:rStyle w:val="134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cs="Times New Roman" w:hAnsi="Times New Roman"/>
                <w:lang w:val="en-US" w:eastAsia="zh-CN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13.成果宣传推广情况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（</w:t>
            </w:r>
            <w:r>
              <w:rPr>
                <w:rStyle w:val="137"/>
                <w:rFonts w:eastAsia="宋体"/>
                <w:lang w:val="en-US" w:eastAsia="zh-CN"/>
              </w:rPr>
              <w:t>10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组织召开成果宣讲会或培训会情况（已召开</w:t>
            </w:r>
            <w:r>
              <w:rPr>
                <w:rStyle w:val="137"/>
                <w:rFonts w:eastAsia="宋体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分，书面承诺召开3分）；向产业链上下游、园区或行业协会分享成果情况（已分享</w:t>
            </w:r>
            <w:r>
              <w:rPr>
                <w:rStyle w:val="137"/>
                <w:rFonts w:eastAsia="宋体"/>
                <w:lang w:val="en-US" w:eastAsia="zh-CN"/>
              </w:rPr>
              <w:t>5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分，书面承诺召开3分）；未开展且无承诺书不得分。</w:t>
            </w:r>
          </w:p>
        </w:tc>
      </w:tr>
      <w:tr>
        <w:trPr>
          <w:trHeight w:val="16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14.</w:t>
            </w:r>
            <w:r>
              <w:rPr>
                <w:rStyle w:val="136"/>
                <w:rFonts w:ascii="Times New Roman" w:eastAsia="方正公文仿宋" w:cs="Times New Roman" w:hAnsi="Times New Roman"/>
                <w:lang w:val="en-US" w:eastAsia="zh-CN"/>
              </w:rPr>
              <w:t>主题</w:t>
            </w:r>
            <w:r>
              <w:rPr>
                <w:rStyle w:val="137"/>
                <w:rFonts w:eastAsia="方正公文仿宋"/>
                <w:lang w:val="en-US" w:eastAsia="zh-CN"/>
              </w:rPr>
              <w:br/>
            </w:r>
            <w:r>
              <w:rPr>
                <w:rStyle w:val="136"/>
                <w:rFonts w:ascii="Times New Roman" w:eastAsia="方正公文仿宋" w:cs="Times New Roman" w:hAnsi="Times New Roman"/>
                <w:lang w:val="en-US" w:eastAsia="zh-CN"/>
              </w:rPr>
              <w:t>数据库建立（</w:t>
            </w:r>
            <w:r>
              <w:rPr>
                <w:rStyle w:val="137"/>
                <w:rFonts w:eastAsia="方正公文仿宋"/>
                <w:lang w:val="en-US" w:eastAsia="zh-CN"/>
              </w:rPr>
              <w:t>4</w:t>
            </w:r>
            <w:r>
              <w:rPr>
                <w:rStyle w:val="136"/>
                <w:rFonts w:ascii="Times New Roman" w:eastAsia="方正公文仿宋" w:cs="Times New Roman" w:hAnsi="Times New Roman"/>
                <w:lang w:val="en-US" w:eastAsia="zh-CN"/>
              </w:rPr>
              <w:t>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结合专利导航应用场景，建立具备公益属性的重点产业专利导航数据库，开发公益性专利导航工具产品（</w:t>
            </w:r>
            <w:r>
              <w:rPr>
                <w:rStyle w:val="137"/>
                <w:rFonts w:eastAsia="方正公文仿宋"/>
                <w:lang w:val="en-US" w:eastAsia="zh-CN"/>
              </w:rPr>
              <w:t>2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分）；形成清晰、直观、可交互的产业链鱼骨图、产业区域分布图、重大项目分布图、重点企业（人才）分布图、产品品牌分布图等专利导航图谱（</w:t>
            </w:r>
            <w:r>
              <w:rPr>
                <w:rStyle w:val="137"/>
                <w:rFonts w:eastAsia="方正公文仿宋"/>
                <w:lang w:val="en-US" w:eastAsia="zh-CN"/>
              </w:rPr>
              <w:t>2</w:t>
            </w: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分）。</w:t>
            </w:r>
          </w:p>
        </w:tc>
      </w:tr>
      <w:tr>
        <w:trPr>
          <w:trHeight w:val="1037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15.成果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备案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6"/>
                <w:rFonts w:ascii="Times New Roman" w:eastAsia="方正公文仿宋" w:cs="Times New Roman" w:hAnsi="Times New Roman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（1分）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6"/>
                <w:rFonts w:ascii="Times New Roman" w:cs="Times New Roman" w:hAnsi="Times New Roman"/>
                <w:lang w:val="en-US" w:eastAsia="zh-CN"/>
              </w:rPr>
              <w:t>国家专利导航综合服务平台完成专利导航成果备案</w:t>
            </w: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（1分）。</w:t>
            </w:r>
          </w:p>
        </w:tc>
      </w:tr>
      <w:tr>
        <w:trPr>
          <w:trHeight w:val="81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加分项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（5分）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转化实效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36"/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项目成果已实质性应用于政府决策、产业规划或企业研发，并提供证明材料（如政策文件引用、企业立项依据、实际效益等），每项视情加1-2分，最高加5分。</w:t>
            </w:r>
          </w:p>
        </w:tc>
      </w:tr>
      <w:tr>
        <w:trPr>
          <w:trHeight w:val="81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134"/>
                <w:rFonts w:ascii="Times New Roman" w:cs="Times New Roman" w:hAnsi="Times New Roman"/>
                <w:i w:val="0"/>
                <w:iCs w:val="0"/>
                <w:color w:val="000000"/>
                <w:lang w:val="en-US" w:eastAsia="zh-CN"/>
              </w:rPr>
              <w:t>备注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1.本评估指标供青海省专利导航项目评估参考；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2.评估依据的项目材料包括专利导航摘要、分析报告、其他形式的专利导航成果（如有）、项目过程证明材料、成果应用证明材料（如有）等。</w:t>
            </w:r>
          </w:p>
          <w:p>
            <w:pPr>
              <w:pStyle w:val="1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方正公文仿宋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3.评估中发现存在数据造假、抄袭他人成果等情形，依法依规追究相应责任。</w:t>
            </w:r>
          </w:p>
        </w:tc>
      </w:tr>
    </w:tbl>
    <w:p>
      <w:pPr>
        <w:keepNext w:val="0"/>
        <w:widowControl w:val="0"/>
      </w:pPr>
    </w:p>
    <w:p>
      <w:bookmarkStart w:id="2" w:name="_GoBack"/>
      <w:bookmarkEnd w:id="2"/>
    </w:p>
    <w:sectPr>
      <w:footerReference w:type="first" r:id="rId2"/>
      <w:pgSz w:w="11906" w:h="16838"/>
      <w:pgMar w:top="2098" w:right="1474" w:bottom="1985" w:left="1588" w:header="851" w:footer="1588" w:gutter="0"/>
      <w:pgNumType w:fmt="numberInDash"/>
      <w:cols w:num="1" w:space="425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公文黑体">
    <w:panose1 w:val="02000500000000000000"/>
    <w:charset w:val="86"/>
    <w:family w:val="script"/>
    <w:pitch w:val="variable"/>
    <w:sig w:usb0="A00002BF" w:usb1="38CF7CFA" w:usb2="00000016" w:usb3="00000000" w:csb0="00040001" w:csb1="00000000"/>
  </w:font>
  <w:font w:name="方正公文小标宋">
    <w:panose1 w:val="02000500000000000000"/>
    <w:charset w:val="86"/>
    <w:family w:val="script"/>
    <w:pitch w:val="variable"/>
    <w:sig w:usb0="A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公文仿宋">
    <w:panose1 w:val="02000500000000000000"/>
    <w:charset w:val="86"/>
    <w:family w:val="script"/>
    <w:pitch w:val="variable"/>
    <w:sig w:usb0="A00002BF" w:usb1="38CF7CFA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sz w:val="28"/>
        <w:szCs w:val="28"/>
      </w:rPr>
      <w:t>— 8 —</w:t>
    </w:r>
    <w:r>
      <w:rPr>
        <w:rFonts w:ascii="Times New Roman" w:cs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21">
    <w:name w:val="toc 2"/>
    <w:basedOn w:val="0"/>
    <w:autoRedefine/>
    <w:next w:val="0"/>
    <w:pPr>
      <w:ind w:left="420"/>
    </w:pPr>
  </w:style>
  <w:style w:type="paragraph" w:styleId="22">
    <w:name w:val="toc 3"/>
    <w:basedOn w:val="0"/>
    <w:autoRedefine/>
    <w:next w:val="0"/>
    <w:pPr>
      <w:ind w:left="840"/>
    </w:pPr>
  </w:style>
  <w:style w:type="paragraph" w:styleId="23">
    <w:name w:val="toc 4"/>
    <w:basedOn w:val="0"/>
    <w:autoRedefine/>
    <w:next w:val="0"/>
    <w:pPr>
      <w:ind w:left="1260"/>
    </w:pPr>
  </w:style>
  <w:style w:type="paragraph" w:styleId="24">
    <w:name w:val="toc 5"/>
    <w:basedOn w:val="0"/>
    <w:autoRedefine/>
    <w:next w:val="0"/>
    <w:pPr>
      <w:ind w:left="1680"/>
    </w:pPr>
  </w:style>
  <w:style w:type="paragraph" w:styleId="25">
    <w:name w:val="toc 6"/>
    <w:basedOn w:val="0"/>
    <w:autoRedefine/>
    <w:next w:val="0"/>
    <w:pPr>
      <w:ind w:left="2100"/>
    </w:pPr>
  </w:style>
  <w:style w:type="paragraph" w:styleId="33">
    <w:name w:val="footer"/>
    <w:basedOn w:val="0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133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134">
    <w:name w:val="font51"/>
    <w:basedOn w:val="0"/>
    <w:rPr>
      <w:rFonts w:ascii="方正公文仿宋" w:eastAsia="方正公文仿宋" w:cs="方正公文仿宋" w:hAnsi="方正公文仿宋"/>
      <w:b/>
      <w:bCs/>
      <w:color w:val="000000"/>
      <w:kern w:val="2"/>
      <w:sz w:val="24"/>
      <w:szCs w:val="24"/>
      <w:u w:val="none"/>
      <w:lang w:val="en-US" w:eastAsia="zh-CN" w:bidi="ar-SA"/>
    </w:rPr>
  </w:style>
  <w:style w:type="character" w:customStyle="1" w:styleId="135">
    <w:name w:val="font21"/>
    <w:basedOn w:val="0"/>
    <w:rPr>
      <w:rFonts w:ascii="Times New Roman" w:eastAsia="宋体" w:cs="Times New Roman" w:hAnsi="Times New Roman"/>
      <w:b/>
      <w:bCs/>
      <w:color w:val="000000"/>
      <w:kern w:val="2"/>
      <w:sz w:val="24"/>
      <w:szCs w:val="24"/>
      <w:u w:val="none"/>
      <w:lang w:val="en-US" w:eastAsia="zh-CN" w:bidi="ar-SA"/>
    </w:rPr>
  </w:style>
  <w:style w:type="character" w:customStyle="1" w:styleId="136">
    <w:name w:val="font41"/>
    <w:basedOn w:val="0"/>
    <w:rPr>
      <w:rFonts w:ascii="方正公文仿宋" w:eastAsia="方正公文仿宋" w:cs="方正公文仿宋" w:hAnsi="方正公文仿宋"/>
      <w:color w:val="000000"/>
      <w:kern w:val="2"/>
      <w:sz w:val="24"/>
      <w:szCs w:val="24"/>
      <w:u w:val="none"/>
      <w:lang w:val="en-US" w:eastAsia="zh-CN" w:bidi="ar-SA"/>
    </w:rPr>
  </w:style>
  <w:style w:type="character" w:customStyle="1" w:styleId="137">
    <w:name w:val="font31"/>
    <w:basedOn w:val="0"/>
    <w:rPr>
      <w:rFonts w:ascii="Times New Roman" w:eastAsia="宋体" w:cs="Times New Roman" w:hAnsi="Times New Roman"/>
      <w:color w:val="000000"/>
      <w:kern w:val="2"/>
      <w:sz w:val="24"/>
      <w:szCs w:val="24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 pgNumType="\* ArabicDash2"/>
  </customProps>
</customData>
</file>

<file path=customXml/itemProps1.xml><?xml version="1.0" encoding="utf-8"?>
<ds:datastoreItem xmlns:ds="http://schemas.openxmlformats.org/officeDocument/2006/customXml" ds:itemID="{4B02C918-3F3E-4AAD-B0B0-82A521FC3E8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0</Words>
  <Characters>1296</Characters>
  <Lines>0</Lines>
  <Paragraphs>5</Paragraphs>
  <CharactersWithSpaces>1729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金翀</dc:creator>
  <cp:lastModifiedBy>金翀</cp:lastModifiedBy>
  <cp:revision>1</cp:revision>
  <dcterms:created xsi:type="dcterms:W3CDTF">2026-07-09T09:35:05Z</dcterms:created>
  <dcterms:modified xsi:type="dcterms:W3CDTF">2026-07-09T09:35:26Z</dcterms:modified>
</cp:coreProperties>
</file>